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21380" cy="180911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онт Эвксинский — 2021</w:t>
      </w:r>
    </w:p>
    <w:p>
      <w:pPr>
        <w:pStyle w:val="Normal"/>
        <w:spacing w:lineRule="auto" w:line="240" w:beforeAutospacing="1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XII Всероссийская научно-практическая конференция молодых ученых по проблемам водных экосистем</w:t>
      </w:r>
    </w:p>
    <w:p>
      <w:pPr>
        <w:pStyle w:val="Normal"/>
        <w:spacing w:lineRule="auto" w:line="240" w:beforeAutospacing="1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20–24 сентября 2021 г.</w:t>
        <w:br/>
        <w:t>Севастополь, Россия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hyperlink r:id="rId3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https://pont-2021.ibss-ras.ru</w:t>
        </w:r>
      </w:hyperlink>
    </w:p>
    <w:p>
      <w:pPr>
        <w:pStyle w:val="Normal"/>
        <w:spacing w:lineRule="auto" w:line="240" w:beforeAutospacing="1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Требования к оформлению тезисов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 тезисов – до 2-х страниц.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Устанавливаются следующие значения параметров страницы: формат А4, ориентация книжная, верхнее и нижнее поля – по 2 см, левое поле – 3 см и правое поле – по 2,5 см. Текст выравнивается по ширине страницы.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Шрифт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Times New Roman 12 pt.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Абзацный отступ 0,63 см, интервал между строками основного текста одинарный.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Название: прописными (заглавными) полужирными буквами. Выравнивание названия по центру страницы.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Сведения об авторе(ах): ФИО (инициалы проставляют после фамилии). Между инициалами ставится пробел. Если авторов два и более, то их ФИО перечисляют через запятую. Если авторы представляют разные организации, то после их инициалов надстрочным знаком указывают цифру:</w:t>
      </w:r>
    </w:p>
    <w:p>
      <w:pPr>
        <w:pStyle w:val="ListParagraph"/>
        <w:spacing w:beforeAutospacing="1" w:after="0"/>
        <w:ind w:left="0" w:hanging="0"/>
        <w:contextualSpacing/>
        <w:jc w:val="center"/>
        <w:rPr/>
      </w:pPr>
      <w:r>
        <w:rPr/>
        <w:t>Иванов И. И.</w:t>
      </w:r>
      <w:r>
        <w:rPr>
          <w:vertAlign w:val="superscript"/>
        </w:rPr>
        <w:t>1</w:t>
      </w:r>
      <w:r>
        <w:rPr/>
        <w:t>, Иванова А. А.</w:t>
      </w:r>
      <w:r>
        <w:rPr>
          <w:vertAlign w:val="superscript"/>
        </w:rPr>
        <w:t>2</w:t>
      </w:r>
    </w:p>
    <w:p>
      <w:pPr>
        <w:pStyle w:val="ListParagraph"/>
        <w:spacing w:beforeAutospacing="1" w:after="0"/>
        <w:contextualSpacing/>
        <w:jc w:val="both"/>
        <w:rPr/>
      </w:pPr>
      <w:r>
        <w:rPr/>
        <w:t>Выравнивание содержимого по центру страницы.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/>
      </w:pPr>
      <w:r>
        <w:rPr/>
        <w:t>Сведение об организации: после цифрового надстрочного знака, соответствующего номеру организации, затем полное наименование учреждения и его местонахождение (город, пгт или т.п.). Например:</w:t>
      </w:r>
    </w:p>
    <w:p>
      <w:pPr>
        <w:pStyle w:val="ListParagraph"/>
        <w:spacing w:beforeAutospacing="1" w:after="0"/>
        <w:ind w:left="0" w:hanging="0"/>
        <w:contextualSpacing/>
        <w:jc w:val="center"/>
        <w:rPr/>
      </w:pPr>
      <w:r>
        <w:rPr>
          <w:vertAlign w:val="superscript"/>
        </w:rPr>
        <w:t>1</w:t>
      </w:r>
      <w:r>
        <w:rPr/>
        <w:t>Институт биологии южных морей им. А.О. Ковалевского РАН,</w:t>
      </w:r>
    </w:p>
    <w:p>
      <w:pPr>
        <w:pStyle w:val="ListParagraph"/>
        <w:spacing w:beforeAutospacing="1" w:after="0"/>
        <w:ind w:left="0" w:hanging="0"/>
        <w:contextualSpacing/>
        <w:jc w:val="center"/>
        <w:rPr/>
      </w:pPr>
      <w:r>
        <w:rPr/>
        <w:t>г. Севастополь</w:t>
      </w:r>
    </w:p>
    <w:p>
      <w:pPr>
        <w:pStyle w:val="ListParagraph"/>
        <w:spacing w:beforeAutospacing="1" w:after="0"/>
        <w:contextualSpacing/>
        <w:jc w:val="both"/>
        <w:rPr/>
      </w:pPr>
      <w:r>
        <w:rPr/>
        <w:t>Выравнивание содержимого по центру страницы.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При указании нескольких организаций их названия указывают с новой строки.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Ключевые слова: не более 10 слов или коротких словосочетаний, перечисляемых через запятую, в конце ставится точка. Например:</w:t>
      </w:r>
    </w:p>
    <w:p>
      <w:pPr>
        <w:pStyle w:val="ListParagraph"/>
        <w:widowControl w:val="false"/>
        <w:spacing w:lineRule="auto" w:line="235"/>
        <w:ind w:left="720" w:right="-1" w:hanging="0"/>
        <w:jc w:val="both"/>
        <w:rPr>
          <w:color w:val="000000"/>
        </w:rPr>
      </w:pPr>
      <w:r>
        <w:rPr>
          <w:b/>
          <w:color w:val="000000"/>
        </w:rPr>
        <w:t>Ключевые слова:</w:t>
      </w:r>
      <w:r>
        <w:rPr>
          <w:color w:val="000000"/>
        </w:rPr>
        <w:t xml:space="preserve"> </w:t>
      </w:r>
      <w:r>
        <w:rPr>
          <w:i/>
          <w:color w:val="000000"/>
        </w:rPr>
        <w:t>Psetta maxima maeotica</w:t>
      </w:r>
      <w:r>
        <w:rPr>
          <w:color w:val="000000"/>
        </w:rPr>
        <w:t>, калкан, эмбрионы, икра рыб, личинки рыб, искусственное воспроизводство.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Текст тезисов доклада не должен содержать подзаголовки: «Введение», «Результаты» и т.п., а также рисунки и таблицы.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Используются условные обозначения и сокращения, принятые в Международной системе мер и весов (СИ).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используются принудительные переносы.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Точка не ставится после: названия статьи, названий организаций, размерностей (ч – час, с – секунда, г – грамм, мин – минута, сут – сутки, град – градус, м – метр, млн – миллион), а также в подстрочных индексах (С</w:t>
      </w:r>
      <w:r>
        <w:rPr>
          <w:rFonts w:eastAsia="Times New Roman" w:cs="Times New Roman" w:ascii="Times New Roman" w:hAnsi="Times New Roman"/>
          <w:sz w:val="24"/>
          <w:szCs w:val="24"/>
          <w:vertAlign w:val="subscript"/>
          <w:lang w:eastAsia="ru-RU"/>
        </w:rPr>
        <w:t>орг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Точка ставится после сокращений мес. (месяц), нед. (неделя), г. (год) и т. д.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Десятичные дроби в тексте набираются через запятую (0,1 или 2,005).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Кавычки и скобки не отделяют пробелами от заключенных в них слов: (при 300 K), «а».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Между знаками номера, параграфа и числом ставится пробел: № 1; § 5.65.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Числа с буквами в обозначениях набираются без пробелов: IVd; 1.3.14a; рис. 1д.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географических координатах широты отделяются пробелами: 56,5° с. ш., 85,0° в. д., рекомендованная международная форма записи — 44°37′13,4′′N, 33°30′13,6′′E.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географических названиях после сокращения с точкой ставится пробел: р. Альма, г. Севастополь.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Знаки ° от предыдущего числа не отделяются: +30°. Но: +30 °C.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Единицы измерения указываются в форме [мг·м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-3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 вместо [мг/м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Формулы в документе набираются либо в редакторе LaTeX, либо в текстовом редакторе с помощью стандартного редактора формул Word, либо с помощью инструмента LibreOffice Math. Использование программ типа MathType неприемлемо.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Необходимо различать дефис (-) и тире (–). Например, тире используется при: «… средний объем клеток – 45 %» (обратите внимание, что в данном случае до и после тире ставятся пробелы); «концентрация бактерий в инокуляте составляла 25–68 кл·мл»; ссылки на литературу [1–3] и т.д.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При указании диапазона числовых значений величины, выраженного в одних и тех же единицах измерения, обозначение единицы измерения указывается за последним числовым значением диапазона, например: «...значения варьировали несильно ‒ от 1,2 до 3,6 мг·м</w:t>
      </w:r>
      <w:r>
        <w:rPr>
          <w:vertAlign w:val="superscript"/>
        </w:rPr>
        <w:t>3</w:t>
      </w:r>
      <w:r>
        <w:rPr/>
        <w:t>». Допускается применение русских обозначений единиц, например: процент (%), промилле (‰), бел (Б), децибел (дБ), метр (м), миллиметр (мм) и т.д. При указании значений величин с предельными отклонениями обозначения единиц измерения помещаются за ними, например: 10,35±0,66 мг·м</w:t>
      </w:r>
      <w:r>
        <w:rPr>
          <w:vertAlign w:val="superscript"/>
        </w:rPr>
        <w:t>-3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Сокращения из нескольких слов разделяются пробелами (760 мм рт. ст.; т. пл.; пр. гр.; ч. д. а.; ос. ч.).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Сокращения используются при написании координат (с. ш., в. д.) и направлений (юго-западный ‒ ЮЗ, а не Ю-З и не ю-з).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Аббревиатуры или формулы химических соединений пишутся через дефис: Na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+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-форма, ИК-спектроскопия, ПЭ-плёнка. Но: группа ОН.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Тире ставится между двумя или несколькими именами собственными, совокупностью которых называется какое-либо учение, научное учреждение и т. п. (например, физический закон Бойля ‒ Мариотта), а также между словами и цифрами для обозначения пространственных, временных или количественных пределов (например, маршрут Индийский океан ‒ Чёрное море; размеры 2,5–7,0 мм).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статьях, написанных латиницей, географические названия и собственные имена, заимствованные из языков, не использующих латинский алфавит, следует давать в транслитерации, принятой в The Times Atlas of the World.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Следует придерживаться номенклатуры, принятой в современных каталогах и справочниках, с обязательной ссылкой на источник. При первом упоминании латинского названия организма следует привести его полностью, с указанием автора и года описания. При последующих упоминаниях фамилия автора и год не приводятся, а название рода даётся сокращённо. Родовые и видовые латинские названия должны быть выделены курсивом, латинские названия более высоких таксонов, а также фамилии авторов описания видов, родов и т. п. курсивом или прописными буквами не выделяются.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Сокращённые названия учреждений и проч. при первом упоминании в тексте следует сопровождать полными названиями.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Гранты/проекты, в рамках которых выполнена работа, прописывают отдельным предложением.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Список литературы.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Выравнивание </w:t>
      </w:r>
      <w:r>
        <w:rPr>
          <w:rFonts w:cs="Times New Roman" w:ascii="Times New Roman" w:hAnsi="Times New Roman"/>
          <w:color w:val="000000"/>
          <w:sz w:val="24"/>
          <w:szCs w:val="24"/>
        </w:rPr>
        <w:t>подзаголовка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Список литературы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центру с</w:t>
      </w:r>
      <w:r>
        <w:rPr>
          <w:rFonts w:cs="Times New Roman" w:ascii="Times New Roman" w:hAnsi="Times New Roman"/>
          <w:sz w:val="24"/>
          <w:szCs w:val="24"/>
        </w:rPr>
        <w:t>траницы.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Допускается список литературы с максимальным объемом – 4 источника. Ссылки на литературу даются в порядке встречаемости в тексте в квадратных скобках цифрами в порядке упоминания [1]. Библиографические записи в списке литературы оформляют согласно ГОСТ Р 7.05-2008. Библиографическая ссылка. Общие требования и правила составления. Введен с 01.01.2009. Москва: Стандартинформ, 2008. 23 с., при этом в описании дефисы опускаем (см. примеры). Обязательно указывается doi к цитируемому источнику, если он есть, и сделать его активным – в виде гиперссылки.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Статьи в периодических изданиях: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en-US"/>
        </w:rPr>
        <w:t>Stutzin A., Hoffmann E. K. Swelling‐activated ion channels: functional regulation in cell‐swelling, proliferation and apoptosis // Acta Physiologica.  2006. Vol. 187, iss. 1</w:t>
      </w:r>
      <w:r>
        <w:rPr/>
        <w:t>–</w:t>
      </w:r>
      <w:r>
        <w:rPr>
          <w:lang w:val="en-US"/>
        </w:rPr>
        <w:t>2.</w:t>
      </w:r>
      <w:r>
        <w:rPr/>
        <w:t xml:space="preserve"> P. 27–42. </w:t>
      </w:r>
      <w:hyperlink r:id="rId4">
        <w:r>
          <w:rPr/>
          <w:t>https://doi.org/10.1111/j.1748-1716.2006.01537.x</w:t>
        </w:r>
      </w:hyperlink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Палий В. Ф. О количественных показателях при обработке фаунистических материалов // Зоологический журнал. 1961. Т. 60, вып. 1. С. 3–12.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Тезисы и материалы конференций: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Голиков А. В., Сабиров Р. М., Любин П. А., Захаров Д. В., Зимина О. Л. Особенности современного распространения головоногих моллюсков (</w:t>
      </w:r>
      <w:r>
        <w:rPr>
          <w:lang w:val="en-US"/>
        </w:rPr>
        <w:t>Cephalopoda</w:t>
      </w:r>
      <w:r>
        <w:rPr/>
        <w:t xml:space="preserve">) в западной части Арктики // Комплексные исследования природы Шпицбергена и прилегающего шельфа : материалы </w:t>
      </w:r>
      <w:r>
        <w:rPr>
          <w:lang w:val="en-US"/>
        </w:rPr>
        <w:t>XIII</w:t>
      </w:r>
      <w:r>
        <w:rPr/>
        <w:t xml:space="preserve"> Междунар. науч. конф. с междунар. участием, г. Мурманск, 2-4 ноября 2016 г. Ростов-на-Дону : Изд-во ЮНЦ РАН, 2016. С. 72–75.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Китаев С. П. О соотношении некоторых трофических уровней и «шкалах трофности» озер разных природных зон // Тезисы докладов V съезда ВГБО, Тольятти, 15-19 сентября 1986 г. Куйбышев, 1986. С. 254–255.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Книги:</w:t>
      </w:r>
    </w:p>
    <w:p>
      <w:pPr>
        <w:pStyle w:val="List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Shennon C. E. Weaver W. The mathematical theory of communication. Urbana : University of Illinois Press. 1963. 345 </w:t>
      </w:r>
      <w:r>
        <w:rPr>
          <w:sz w:val="24"/>
          <w:szCs w:val="24"/>
        </w:rPr>
        <w:t>р</w:t>
      </w:r>
      <w:r>
        <w:rPr>
          <w:sz w:val="24"/>
          <w:szCs w:val="24"/>
          <w:lang w:val="en-US"/>
        </w:rPr>
        <w:t>.</w:t>
      </w:r>
    </w:p>
    <w:p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Taşkin E., Öztürk M., Kurt O., Öztürk M. The check-list of the marine flora of Turkey. Manisa, Turkey, 2008. 87 p.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Иванов И. Ф., Ковальский П. А. Цитология, гистология, эмбриология. Москва : Колос, 1976. 446 с.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Водные ресурсы Свердловской области / под ред. Н. Б. Прохоровой ; ФГУП РосНИИВХ. Екатеринбург : Изд-во АМБ, 2004. 432 с.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 охраняемые природные территории Беларуси : справочник / Н. А. Юргенсон, Е. В. Шушкова, Е. А. Шляхтич, В. В. Устин ; ГНПО «Научно-практический центр НАН Беларуси по биоресурсам». Минск : ГУ «БелИСА», 2012. 204 с.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Авторефераты диссертаций:</w:t>
      </w:r>
    </w:p>
    <w:p>
      <w:pPr>
        <w:pStyle w:val="ListParagraph"/>
        <w:numPr>
          <w:ilvl w:val="3"/>
          <w:numId w:val="5"/>
        </w:numPr>
        <w:ind w:left="851" w:hanging="425"/>
        <w:jc w:val="both"/>
        <w:rPr/>
      </w:pPr>
      <w:bookmarkStart w:id="0" w:name="_GoBack"/>
      <w:bookmarkEnd w:id="0"/>
      <w:r>
        <w:rPr/>
        <w:t xml:space="preserve">Андреева А. Ю. Морфофункциональные характеристики эритроцитов </w:t>
      </w:r>
      <w:r>
        <w:rPr>
          <w:i/>
        </w:rPr>
        <w:t xml:space="preserve">Scorpaena </w:t>
      </w:r>
      <w:r>
        <w:rPr>
          <w:i/>
          <w:lang w:val="en-US"/>
        </w:rPr>
        <w:t>p</w:t>
      </w:r>
      <w:r>
        <w:rPr>
          <w:i/>
        </w:rPr>
        <w:t>orcus</w:t>
      </w:r>
      <w:r>
        <w:rPr/>
        <w:t xml:space="preserve"> L. в условиях гипоксии (эксперименты in vitro) : автореф. дис.... канд. биол. наук. Санкт Петербург, 2014. 21 с.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Методики: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Методика определения качественного и количественного состава зоопланктона. СТП ИМБИ 020-2016. г. Приказ 45-од от 12.08.2016. Севастополь, 2016.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Методические указания по проведению гематологического обследования рыб. Министерство сельского хозяйства и продовольствия Российской Федерации (Минсельхозпрод России) Департамент ветеринарии № 13-4-2/1487 от 02 февраля 1999 г. 6 с. </w:t>
      </w:r>
      <w:hyperlink r:id="rId5">
        <w:r>
          <w:rPr/>
          <w:t>http://gov.cap.ru/home/65/aris/bd/vetzac/document/201.html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9603b7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625a61"/>
    <w:rPr>
      <w:b/>
      <w:bCs/>
    </w:rPr>
  </w:style>
  <w:style w:type="character" w:styleId="InternetLink">
    <w:name w:val="Hyperlink"/>
    <w:basedOn w:val="DefaultParagraphFont"/>
    <w:uiPriority w:val="99"/>
    <w:semiHidden/>
    <w:unhideWhenUsed/>
    <w:rsid w:val="00625a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a61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uiPriority w:val="99"/>
    <w:rsid w:val="009603b7"/>
    <w:pPr>
      <w:tabs>
        <w:tab w:val="clear" w:pos="708"/>
        <w:tab w:val="left" w:pos="283" w:leader="none"/>
      </w:tabs>
      <w:spacing w:lineRule="auto" w:line="240" w:before="0" w:after="120"/>
      <w:ind w:left="283" w:hanging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9603b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603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ont-2021.ibss-ras.ru/" TargetMode="External"/><Relationship Id="rId4" Type="http://schemas.openxmlformats.org/officeDocument/2006/relationships/hyperlink" Target="https://doi.org/10.1111/j.1748-1716.2006.01537.x" TargetMode="External"/><Relationship Id="rId5" Type="http://schemas.openxmlformats.org/officeDocument/2006/relationships/hyperlink" Target="http://gov.cap.ru/home/65/aris/bd/vetzac/document/201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LibreOffice/7.0.4.2$Windows_X86_64 LibreOffice_project/dcf040e67528d9187c66b2379df5ea4407429775</Application>
  <AppVersion>15.0000</AppVersion>
  <Pages>4</Pages>
  <Words>1215</Words>
  <Characters>7441</Characters>
  <CharactersWithSpaces>8561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2021-03-24T09:36:00Z</dcterms:created>
  <dc:creator>Валентина</dc:creator>
  <dc:description/>
  <dc:language>ru-RU</dc:language>
  <cp:lastModifiedBy/>
  <dcterms:modified xsi:type="dcterms:W3CDTF">2021-03-30T11:53:57Z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